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line="360" w:lineRule="auto"/>
        <w:jc w:val="center"/>
        <w:rPr>
          <w:rFonts w:ascii="宋体" w:hAnsi="宋体" w:cs="宋体"/>
          <w:b/>
          <w:kern w:val="0"/>
          <w:sz w:val="32"/>
          <w:szCs w:val="32"/>
        </w:rPr>
      </w:pPr>
      <w:bookmarkStart w:id="0" w:name="_GoBack"/>
      <w:r>
        <w:rPr>
          <w:rFonts w:hint="eastAsia" w:ascii="宋体" w:hAnsi="宋体" w:cs="宋体"/>
          <w:b/>
          <w:kern w:val="0"/>
          <w:sz w:val="32"/>
          <w:szCs w:val="32"/>
        </w:rPr>
        <w:t>销售合同</w:t>
      </w:r>
    </w:p>
    <w:bookmarkEnd w:id="0"/>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一、定义</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1、“供方”指</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2、“需方”指购买供方产品或服务的具有法律行为资格的自然人或法人；</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3、“销售合同”指供方向需方出售产品或服务的合同，所有合同自动包含本条款的所有条件。</w:t>
      </w:r>
    </w:p>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二、合同成立</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1、销售合同自下列情形之一发生时（以最早发生者为准）即成立：</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w:t>
      </w:r>
      <w:r>
        <w:rPr>
          <w:rFonts w:hint="eastAsia" w:ascii="宋体" w:hAnsi="宋体" w:cs="宋体"/>
          <w:kern w:val="0"/>
          <w:sz w:val="24"/>
        </w:rPr>
        <w:t>1</w:t>
      </w:r>
      <w:r>
        <w:rPr>
          <w:rFonts w:ascii="宋体" w:hAnsi="宋体" w:cs="宋体"/>
          <w:kern w:val="0"/>
          <w:sz w:val="24"/>
        </w:rPr>
        <w:t>)需方以信件、传真等方式接受供方报价时；</w:t>
      </w:r>
    </w:p>
    <w:p>
      <w:pPr>
        <w:widowControl/>
        <w:shd w:val="clear" w:color="auto" w:fill="FFFFFF"/>
        <w:spacing w:line="360" w:lineRule="auto"/>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供方书面或口头接受</w:t>
      </w:r>
      <w:r>
        <w:rPr>
          <w:rFonts w:hint="eastAsia" w:ascii="宋体" w:hAnsi="宋体" w:cs="宋体"/>
          <w:kern w:val="0"/>
          <w:sz w:val="24"/>
        </w:rPr>
        <w:t>需方订单</w:t>
      </w:r>
      <w:r>
        <w:rPr>
          <w:rFonts w:ascii="宋体" w:hAnsi="宋体" w:cs="宋体"/>
          <w:kern w:val="0"/>
          <w:sz w:val="24"/>
        </w:rPr>
        <w:t>，并</w:t>
      </w:r>
      <w:r>
        <w:rPr>
          <w:rFonts w:hint="eastAsia" w:ascii="宋体" w:hAnsi="宋体" w:cs="宋体"/>
          <w:kern w:val="0"/>
          <w:sz w:val="24"/>
        </w:rPr>
        <w:t>将</w:t>
      </w:r>
      <w:r>
        <w:rPr>
          <w:rFonts w:ascii="宋体" w:hAnsi="宋体" w:cs="宋体"/>
          <w:kern w:val="0"/>
          <w:sz w:val="24"/>
        </w:rPr>
        <w:t>产品装运时。</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2、需方代理出售供方的产品或提供的服务时，必须服从本条款。本条款构成代理销售合同不可分割的部分，需方同意受其约束。</w:t>
      </w:r>
    </w:p>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三、定单、价格和付款</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1、 所有规定期限的书面报价在报价单规定的期限有效。供方</w:t>
      </w:r>
      <w:r>
        <w:rPr>
          <w:rFonts w:hint="eastAsia" w:ascii="宋体" w:hAnsi="宋体" w:cs="宋体"/>
          <w:kern w:val="0"/>
          <w:sz w:val="24"/>
        </w:rPr>
        <w:t>做出</w:t>
      </w:r>
      <w:r>
        <w:rPr>
          <w:rFonts w:ascii="宋体" w:hAnsi="宋体" w:cs="宋体"/>
          <w:kern w:val="0"/>
          <w:sz w:val="24"/>
        </w:rPr>
        <w:t>的口头报价或没有规定期限的书面报价单的有效期</w:t>
      </w:r>
      <w:r>
        <w:rPr>
          <w:rFonts w:hint="eastAsia" w:ascii="宋体" w:hAnsi="宋体" w:cs="宋体"/>
          <w:kern w:val="0"/>
          <w:sz w:val="24"/>
        </w:rPr>
        <w:t>，</w:t>
      </w:r>
      <w:r>
        <w:rPr>
          <w:rFonts w:ascii="宋体" w:hAnsi="宋体" w:cs="宋体"/>
          <w:kern w:val="0"/>
          <w:sz w:val="24"/>
        </w:rPr>
        <w:t>仅截至</w:t>
      </w:r>
      <w:r>
        <w:rPr>
          <w:rFonts w:hint="eastAsia" w:ascii="宋体" w:hAnsi="宋体" w:cs="宋体"/>
          <w:kern w:val="0"/>
          <w:sz w:val="24"/>
        </w:rPr>
        <w:t>作出</w:t>
      </w:r>
      <w:r>
        <w:rPr>
          <w:rFonts w:ascii="宋体" w:hAnsi="宋体" w:cs="宋体"/>
          <w:kern w:val="0"/>
          <w:sz w:val="24"/>
        </w:rPr>
        <w:t>报价的当日24时为止。</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2、 产品或服务的最终价格、付款条件</w:t>
      </w:r>
      <w:r>
        <w:rPr>
          <w:rFonts w:hint="eastAsia" w:ascii="宋体" w:hAnsi="宋体" w:cs="宋体"/>
          <w:kern w:val="0"/>
          <w:sz w:val="24"/>
        </w:rPr>
        <w:t>会</w:t>
      </w:r>
      <w:r>
        <w:rPr>
          <w:rFonts w:ascii="宋体" w:hAnsi="宋体" w:cs="宋体"/>
          <w:kern w:val="0"/>
          <w:sz w:val="24"/>
        </w:rPr>
        <w:t>在</w:t>
      </w:r>
      <w:r>
        <w:rPr>
          <w:rFonts w:hint="eastAsia" w:ascii="宋体" w:hAnsi="宋体" w:cs="宋体"/>
          <w:kern w:val="0"/>
          <w:sz w:val="24"/>
        </w:rPr>
        <w:t>具体的</w:t>
      </w:r>
      <w:r>
        <w:rPr>
          <w:rFonts w:ascii="宋体" w:hAnsi="宋体" w:cs="宋体"/>
          <w:kern w:val="0"/>
          <w:sz w:val="24"/>
        </w:rPr>
        <w:t>销售合同内书明。</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3、 除非供方已明确</w:t>
      </w:r>
      <w:r>
        <w:rPr>
          <w:rFonts w:hint="eastAsia" w:ascii="宋体" w:hAnsi="宋体" w:cs="宋体"/>
          <w:kern w:val="0"/>
          <w:sz w:val="24"/>
        </w:rPr>
        <w:t>说</w:t>
      </w:r>
      <w:r>
        <w:rPr>
          <w:rFonts w:ascii="宋体" w:hAnsi="宋体" w:cs="宋体"/>
          <w:kern w:val="0"/>
          <w:sz w:val="24"/>
        </w:rPr>
        <w:t>明付款条件，否则产品或服务的全部货款应在产品或服务实际交付前付清。在全部款项付清前，供方有权暂停或取消交付产品或服务。对供方已交付的产品或服务，供方保留要求立即付款的权利。</w:t>
      </w:r>
    </w:p>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四、交付</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1、供方应在交付期内将产品交付给需方指定的处于交付地点的指定人士。</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2、指定人士、交付地点和交付期均应在销售合同书</w:t>
      </w:r>
      <w:r>
        <w:rPr>
          <w:rFonts w:hint="eastAsia" w:ascii="宋体" w:hAnsi="宋体" w:cs="宋体"/>
          <w:kern w:val="0"/>
          <w:sz w:val="24"/>
        </w:rPr>
        <w:t>中</w:t>
      </w:r>
      <w:r>
        <w:rPr>
          <w:rFonts w:ascii="宋体" w:hAnsi="宋体" w:cs="宋体"/>
          <w:kern w:val="0"/>
          <w:sz w:val="24"/>
        </w:rPr>
        <w:t>明确指定，并经供方同意。</w:t>
      </w:r>
    </w:p>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五、产品的接受</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产品送达交付地点并经指定人士签收，或在无指定人士的情况下，供方可同意需方凭企业公章或其它法定授权章收货，产品的交付已告结束，即视为已获需方接受。</w:t>
      </w:r>
    </w:p>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六、责任</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1、供方出具的销售印刷品、报价单、价格表、订单确认书、发票或其它文件和资料的打</w:t>
      </w:r>
      <w:r>
        <w:rPr>
          <w:rFonts w:hint="eastAsia" w:ascii="宋体" w:hAnsi="宋体" w:cs="宋体"/>
          <w:kern w:val="0"/>
          <w:sz w:val="24"/>
        </w:rPr>
        <w:t>印、</w:t>
      </w:r>
      <w:r>
        <w:rPr>
          <w:rFonts w:ascii="宋体" w:hAnsi="宋体" w:cs="宋体"/>
          <w:kern w:val="0"/>
          <w:sz w:val="24"/>
        </w:rPr>
        <w:t>书写或其它的错漏可以更正，且供方对此类错误不承担任何责任。</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2、一方违约后，另一方可以要求违约方给</w:t>
      </w:r>
      <w:r>
        <w:rPr>
          <w:rFonts w:hint="eastAsia" w:ascii="宋体" w:hAnsi="宋体" w:cs="宋体"/>
          <w:kern w:val="0"/>
          <w:sz w:val="24"/>
        </w:rPr>
        <w:t>予</w:t>
      </w:r>
      <w:r>
        <w:rPr>
          <w:rFonts w:ascii="宋体" w:hAnsi="宋体" w:cs="宋体"/>
          <w:kern w:val="0"/>
          <w:sz w:val="24"/>
        </w:rPr>
        <w:t>赔偿。</w:t>
      </w:r>
    </w:p>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七、管辖法律</w:t>
      </w:r>
    </w:p>
    <w:p>
      <w:pPr>
        <w:widowControl/>
        <w:shd w:val="clear" w:color="auto" w:fill="FFFFFF"/>
        <w:spacing w:line="360" w:lineRule="auto"/>
        <w:ind w:firstLine="480" w:firstLineChars="200"/>
        <w:rPr>
          <w:rFonts w:ascii="宋体" w:hAnsi="宋体" w:cs="宋体"/>
          <w:kern w:val="0"/>
          <w:sz w:val="24"/>
        </w:rPr>
      </w:pPr>
      <w:r>
        <w:rPr>
          <w:rFonts w:ascii="宋体" w:hAnsi="宋体" w:cs="宋体"/>
          <w:kern w:val="0"/>
          <w:sz w:val="24"/>
        </w:rPr>
        <w:t>本条款受中华人民共和国法律管辖并按其解释。与本条款有关的争议应尽可能由双方友好协商解决。如争议无法经协商解决，则任何一方均可向供方所在地拥有管辖权的人民法院提请诉讼。</w:t>
      </w:r>
    </w:p>
    <w:p>
      <w:pPr>
        <w:widowControl/>
        <w:shd w:val="clear" w:color="auto" w:fill="FFFFFF"/>
        <w:spacing w:line="360" w:lineRule="auto"/>
        <w:ind w:firstLine="482" w:firstLineChars="200"/>
        <w:rPr>
          <w:rFonts w:ascii="宋体" w:hAnsi="宋体" w:cs="宋体"/>
          <w:b/>
          <w:kern w:val="0"/>
          <w:sz w:val="24"/>
        </w:rPr>
      </w:pPr>
      <w:r>
        <w:rPr>
          <w:rFonts w:ascii="宋体" w:hAnsi="宋体" w:cs="宋体"/>
          <w:b/>
          <w:kern w:val="0"/>
          <w:sz w:val="24"/>
        </w:rPr>
        <w:t>八、一般规定</w:t>
      </w:r>
    </w:p>
    <w:p>
      <w:pPr>
        <w:widowControl/>
        <w:shd w:val="clear" w:color="auto" w:fill="FFFFFF"/>
        <w:wordWrap w:val="0"/>
        <w:spacing w:after="312" w:afterLines="100" w:line="360" w:lineRule="auto"/>
        <w:ind w:firstLine="480" w:firstLineChars="200"/>
        <w:rPr>
          <w:rFonts w:ascii="宋体" w:hAnsi="宋体" w:cs="宋体"/>
          <w:kern w:val="0"/>
          <w:sz w:val="24"/>
        </w:rPr>
      </w:pPr>
      <w:r>
        <w:rPr>
          <w:rFonts w:ascii="宋体" w:hAnsi="宋体" w:cs="宋体"/>
          <w:kern w:val="0"/>
          <w:sz w:val="24"/>
        </w:rPr>
        <w:t>除非双方另有书面约定，销售合同的修改或变更必须以书面形式提出，并经</w:t>
      </w:r>
      <w:r>
        <w:rPr>
          <w:rFonts w:hint="eastAsia" w:ascii="宋体" w:hAnsi="宋体" w:cs="宋体"/>
          <w:kern w:val="0"/>
          <w:sz w:val="24"/>
        </w:rPr>
        <w:t>双方</w:t>
      </w:r>
      <w:r>
        <w:rPr>
          <w:rFonts w:ascii="宋体" w:hAnsi="宋体" w:cs="宋体"/>
          <w:kern w:val="0"/>
          <w:sz w:val="24"/>
        </w:rPr>
        <w:t>签字或加盖法定授权章确认后方能生效。</w:t>
      </w:r>
      <w:r>
        <w:rPr>
          <w:rFonts w:hint="eastAsia" w:ascii="宋体" w:hAnsi="宋体" w:cs="宋体"/>
          <w:kern w:val="0"/>
          <w:sz w:val="24"/>
        </w:rPr>
        <w:t>本合同一式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份，双方各执</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份，具有同等效力。</w:t>
      </w:r>
    </w:p>
    <w:tbl>
      <w:tblPr>
        <w:tblStyle w:val="11"/>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供方（签章）：</w:t>
            </w:r>
          </w:p>
        </w:tc>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需方（签章）：</w:t>
            </w:r>
          </w:p>
        </w:tc>
      </w:tr>
      <w:tr>
        <w:tblPrEx>
          <w:tblLayout w:type="fixed"/>
          <w:tblCellMar>
            <w:top w:w="0" w:type="dxa"/>
            <w:left w:w="108" w:type="dxa"/>
            <w:bottom w:w="0" w:type="dxa"/>
            <w:right w:w="108" w:type="dxa"/>
          </w:tblCellMar>
        </w:tblPrEx>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住所：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c>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住所：</w:t>
            </w:r>
            <w:r>
              <w:rPr>
                <w:rFonts w:hint="eastAsia" w:ascii="宋体" w:hAnsi="宋体"/>
                <w:sz w:val="24"/>
                <w:u w:val="single"/>
              </w:rPr>
              <w:t xml:space="preserve">                  </w:t>
            </w:r>
            <w:r>
              <w:rPr>
                <w:rFonts w:ascii="宋体" w:hAnsi="宋体"/>
                <w:sz w:val="24"/>
                <w:u w:val="single"/>
              </w:rPr>
              <w:t xml:space="preserve">    </w:t>
            </w:r>
          </w:p>
        </w:tc>
      </w:tr>
      <w:tr>
        <w:tblPrEx>
          <w:tblLayout w:type="fixed"/>
          <w:tblCellMar>
            <w:top w:w="0" w:type="dxa"/>
            <w:left w:w="108" w:type="dxa"/>
            <w:bottom w:w="0" w:type="dxa"/>
            <w:right w:w="108" w:type="dxa"/>
          </w:tblCellMar>
        </w:tblPrEx>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tc>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电话：</w:t>
            </w:r>
            <w:r>
              <w:rPr>
                <w:rFonts w:hint="eastAsia" w:ascii="宋体" w:hAnsi="宋体"/>
                <w:sz w:val="24"/>
                <w:u w:val="single"/>
              </w:rPr>
              <w:t xml:space="preserve">                  </w:t>
            </w:r>
            <w:r>
              <w:rPr>
                <w:rFonts w:ascii="宋体" w:hAnsi="宋体"/>
                <w:sz w:val="24"/>
                <w:u w:val="single"/>
              </w:rPr>
              <w:t xml:space="preserve">    </w:t>
            </w:r>
          </w:p>
        </w:tc>
      </w:tr>
      <w:tr>
        <w:tblPrEx>
          <w:tblLayout w:type="fixed"/>
          <w:tblCellMar>
            <w:top w:w="0" w:type="dxa"/>
            <w:left w:w="108" w:type="dxa"/>
            <w:bottom w:w="0" w:type="dxa"/>
            <w:right w:w="108" w:type="dxa"/>
          </w:tblCellMar>
        </w:tblPrEx>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签订时间：</w:t>
            </w:r>
            <w:r>
              <w:rPr>
                <w:rFonts w:hint="eastAsia" w:ascii="宋体" w:hAnsi="宋体"/>
                <w:sz w:val="24"/>
                <w:u w:val="single"/>
              </w:rPr>
              <w:t xml:space="preserve">                  </w:t>
            </w:r>
          </w:p>
        </w:tc>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签订时间：</w:t>
            </w:r>
            <w:r>
              <w:rPr>
                <w:rFonts w:hint="eastAsia" w:ascii="宋体" w:hAnsi="宋体"/>
                <w:sz w:val="24"/>
                <w:u w:val="single"/>
              </w:rPr>
              <w:t xml:space="preserve">                  </w:t>
            </w:r>
          </w:p>
        </w:tc>
      </w:tr>
      <w:tr>
        <w:tblPrEx>
          <w:tblLayout w:type="fixed"/>
          <w:tblCellMar>
            <w:top w:w="0" w:type="dxa"/>
            <w:left w:w="108" w:type="dxa"/>
            <w:bottom w:w="0" w:type="dxa"/>
            <w:right w:w="108" w:type="dxa"/>
          </w:tblCellMar>
        </w:tblPrEx>
        <w:tc>
          <w:tcPr>
            <w:tcW w:w="4261" w:type="dxa"/>
            <w:shd w:val="clear" w:color="auto" w:fill="auto"/>
          </w:tcPr>
          <w:p>
            <w:pPr>
              <w:spacing w:line="360" w:lineRule="auto"/>
              <w:rPr>
                <w:rFonts w:ascii="宋体" w:hAnsi="宋体" w:cs="宋体"/>
                <w:kern w:val="0"/>
                <w:sz w:val="24"/>
              </w:rPr>
            </w:pPr>
            <w:r>
              <w:rPr>
                <w:rFonts w:hint="eastAsia" w:ascii="宋体" w:hAnsi="宋体" w:cs="宋体"/>
                <w:kern w:val="0"/>
                <w:sz w:val="24"/>
              </w:rPr>
              <w:t>签订地点：</w:t>
            </w:r>
            <w:r>
              <w:rPr>
                <w:rFonts w:hint="eastAsia" w:ascii="宋体" w:hAnsi="宋体"/>
                <w:sz w:val="24"/>
                <w:u w:val="single"/>
              </w:rPr>
              <w:t xml:space="preserve">                  </w:t>
            </w:r>
          </w:p>
        </w:tc>
        <w:tc>
          <w:tcPr>
            <w:tcW w:w="4261" w:type="dxa"/>
            <w:shd w:val="clear" w:color="auto" w:fill="auto"/>
          </w:tcPr>
          <w:p>
            <w:pPr>
              <w:spacing w:line="360" w:lineRule="auto"/>
              <w:rPr>
                <w:rFonts w:ascii="宋体" w:hAnsi="宋体"/>
                <w:sz w:val="24"/>
              </w:rPr>
            </w:pPr>
            <w:r>
              <w:rPr>
                <w:rFonts w:hint="eastAsia" w:ascii="宋体" w:hAnsi="宋体" w:cs="宋体"/>
                <w:kern w:val="0"/>
                <w:sz w:val="24"/>
              </w:rPr>
              <w:t>签订地点：</w:t>
            </w:r>
            <w:r>
              <w:rPr>
                <w:rFonts w:hint="eastAsia" w:ascii="宋体" w:hAnsi="宋体"/>
                <w:sz w:val="24"/>
                <w:u w:val="single"/>
              </w:rPr>
              <w:t xml:space="preserve">                  </w:t>
            </w:r>
          </w:p>
        </w:tc>
      </w:tr>
    </w:tbl>
    <w:p>
      <w:pPr>
        <w:spacing w:line="360" w:lineRule="auto"/>
        <w:rPr>
          <w:rFonts w:ascii="宋体" w:hAnsi="宋体"/>
          <w:sz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tsong">
    <w:altName w:val="等线"/>
    <w:panose1 w:val="00000000000000000000"/>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2940"/>
      </w:tabs>
      <w:jc w:val="lef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18F4"/>
    <w:multiLevelType w:val="multilevel"/>
    <w:tmpl w:val="1B1118F4"/>
    <w:lvl w:ilvl="0" w:tentative="0">
      <w:start w:val="1"/>
      <w:numFmt w:val="chineseCountingThousand"/>
      <w:pStyle w:val="2"/>
      <w:lvlText w:val="第%1条 "/>
      <w:lvlJc w:val="left"/>
      <w:pPr>
        <w:tabs>
          <w:tab w:val="left" w:pos="720"/>
        </w:tabs>
        <w:ind w:left="0" w:firstLine="0"/>
      </w:pPr>
      <w:rPr>
        <w:rFonts w:hint="default" w:ascii="微软雅黑" w:hAnsi="微软雅黑" w:eastAsia="微软雅黑"/>
        <w:spacing w:val="0"/>
        <w:w w:val="100"/>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71F50"/>
    <w:rsid w:val="041D0B2F"/>
    <w:rsid w:val="0680591A"/>
    <w:rsid w:val="1D7C6597"/>
    <w:rsid w:val="1E671696"/>
    <w:rsid w:val="213E66C5"/>
    <w:rsid w:val="26F60E08"/>
    <w:rsid w:val="34E06627"/>
    <w:rsid w:val="377C6179"/>
    <w:rsid w:val="3EB1537F"/>
    <w:rsid w:val="46217888"/>
    <w:rsid w:val="4D233E84"/>
    <w:rsid w:val="609C7800"/>
    <w:rsid w:val="62193B13"/>
    <w:rsid w:val="65CC30A6"/>
    <w:rsid w:val="68627220"/>
    <w:rsid w:val="6D071F50"/>
    <w:rsid w:val="6E994FC7"/>
    <w:rsid w:val="7105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99"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numPr>
        <w:ilvl w:val="0"/>
        <w:numId w:val="1"/>
      </w:numPr>
      <w:spacing w:before="240" w:after="120" w:line="240" w:lineRule="atLeast"/>
      <w:outlineLvl w:val="0"/>
    </w:pPr>
    <w:rPr>
      <w:rFonts w:ascii="Times New Roman" w:hAnsi="Times New Roman" w:eastAsia="宋体" w:cs="Times New Roman"/>
      <w:b/>
      <w:bCs/>
      <w:kern w:val="44"/>
      <w:szCs w:val="20"/>
    </w:rPr>
  </w:style>
  <w:style w:type="paragraph" w:styleId="3">
    <w:name w:val="heading 2"/>
    <w:basedOn w:val="1"/>
    <w:next w:val="1"/>
    <w:semiHidden/>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4">
    <w:name w:val="Default Paragraph Font"/>
    <w:uiPriority w:val="0"/>
  </w:style>
  <w:style w:type="table" w:default="1" w:styleId="11">
    <w:name w:val="Normal Table"/>
    <w:uiPriority w:val="0"/>
    <w:tblPr>
      <w:tblLayout w:type="fixed"/>
      <w:tblCellMar>
        <w:top w:w="0" w:type="dxa"/>
        <w:left w:w="108" w:type="dxa"/>
        <w:bottom w:w="0" w:type="dxa"/>
        <w:right w:w="108" w:type="dxa"/>
      </w:tblCellMar>
    </w:tblPr>
  </w:style>
  <w:style w:type="paragraph" w:styleId="4">
    <w:name w:val="annotation text"/>
    <w:basedOn w:val="1"/>
    <w:link w:val="27"/>
    <w:uiPriority w:val="0"/>
    <w:pPr>
      <w:jc w:val="left"/>
    </w:pPr>
    <w:rPr>
      <w:rFonts w:ascii="Times New Roman" w:hAnsi="Times New Roman" w:eastAsia="宋体" w:cs="Times New Roman"/>
      <w:szCs w:val="24"/>
    </w:rPr>
  </w:style>
  <w:style w:type="paragraph" w:styleId="5">
    <w:name w:val="Balloon Text"/>
    <w:basedOn w:val="1"/>
    <w:link w:val="22"/>
    <w:uiPriority w:val="0"/>
    <w:rPr>
      <w:sz w:val="18"/>
      <w:szCs w:val="18"/>
    </w:rPr>
  </w:style>
  <w:style w:type="paragraph" w:styleId="6">
    <w:name w:val="footer"/>
    <w:basedOn w:val="1"/>
    <w:link w:val="20"/>
    <w:uiPriority w:val="0"/>
    <w:pPr>
      <w:tabs>
        <w:tab w:val="center" w:pos="4153"/>
        <w:tab w:val="right" w:pos="8306"/>
      </w:tabs>
      <w:snapToGrid w:val="0"/>
      <w:jc w:val="left"/>
    </w:pPr>
    <w:rPr>
      <w:sz w:val="18"/>
      <w:szCs w:val="18"/>
    </w:rPr>
  </w:style>
  <w:style w:type="paragraph" w:styleId="7">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spacing w:after="120" w:line="240" w:lineRule="atLeast"/>
    </w:pPr>
    <w:rPr>
      <w:rFonts w:ascii="Times New Roman" w:hAnsi="Times New Roman" w:eastAsia="宋体" w:cs="Times New Roman"/>
      <w:szCs w:val="20"/>
    </w:rPr>
  </w:style>
  <w:style w:type="paragraph"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8"/>
    <w:uiPriority w:val="0"/>
    <w:rPr>
      <w:b/>
      <w:bCs/>
    </w:rPr>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3">
    <w:name w:val="Colorful Shading Accent 1"/>
    <w:semiHidden/>
    <w:uiPriority w:val="99"/>
    <w:rPr>
      <w:sz w:val="24"/>
      <w:szCs w:val="24"/>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Layout w:type="fixed"/>
    </w:tblPr>
    <w:tcPr>
      <w:shd w:val="clear" w:color="auto" w:fill="EDF2F8"/>
    </w:tcPr>
    <w:tblStylePr w:type="firstRow">
      <w:rPr>
        <w:b/>
        <w:bCs/>
      </w:rPr>
      <w:tblPr>
        <w:tblLayout w:type="fixed"/>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2C4C74"/>
      </w:tcPr>
    </w:tblStylePr>
    <w:tblStylePr w:type="firstCol">
      <w:rPr>
        <w:color w:val="FFFFFF"/>
      </w:rPr>
      <w:tblPr>
        <w:tblLayout w:type="fixed"/>
      </w:tblPr>
      <w:tcPr>
        <w:tcBorders>
          <w:top w:val="nil"/>
          <w:left w:val="nil"/>
          <w:bottom w:val="nil"/>
          <w:right w:val="nil"/>
          <w:insideH w:val="single" w:sz="4" w:space="0"/>
          <w:insideV w:val="nil"/>
        </w:tcBorders>
        <w:shd w:val="clear" w:color="auto" w:fill="2C4C74"/>
      </w:tcPr>
    </w:tblStylePr>
    <w:tblStylePr w:type="lastCol">
      <w:rPr>
        <w:color w:val="FFFFFF"/>
      </w:rPr>
      <w:tblPr>
        <w:tblLayout w:type="fixed"/>
      </w:tblPr>
      <w:tcPr>
        <w:tcBorders>
          <w:top w:val="nil"/>
          <w:left w:val="nil"/>
          <w:bottom w:val="nil"/>
          <w:right w:val="nil"/>
          <w:insideH w:val="nil"/>
          <w:insideV w:val="nil"/>
        </w:tcBorders>
        <w:shd w:val="clear" w:color="auto" w:fill="2C4C74"/>
      </w:tcPr>
    </w:tblStylePr>
    <w:tblStylePr w:type="band1Vert">
      <w:tblPr>
        <w:tblLayout w:type="fixed"/>
      </w:tblPr>
      <w:tcPr>
        <w:shd w:val="clear" w:color="auto" w:fill="B8CCE4"/>
      </w:tcPr>
    </w:tblStylePr>
    <w:tblStylePr w:type="band1Horz">
      <w:tblPr>
        <w:tblLayout w:type="fixed"/>
      </w:tblPr>
      <w:tcPr>
        <w:shd w:val="clear" w:color="auto" w:fill="A7BFDE"/>
      </w:tcPr>
    </w:tblStylePr>
    <w:tblStylePr w:type="neCell">
      <w:rPr>
        <w:color w:val="000000"/>
      </w:rPr>
    </w:tblStylePr>
    <w:tblStylePr w:type="nwCell">
      <w:rPr>
        <w:color w:val="000000"/>
      </w:rPr>
    </w:tblStylePr>
  </w:style>
  <w:style w:type="character" w:styleId="15">
    <w:name w:val="Strong"/>
    <w:basedOn w:val="14"/>
    <w:qFormat/>
    <w:uiPriority w:val="0"/>
    <w:rPr>
      <w:rFonts w:ascii="Times New Roman" w:hAnsi="Times New Roman" w:eastAsia="宋体" w:cs="Times New Roman"/>
      <w:b/>
      <w:bCs/>
      <w:lang w:val="en-US" w:eastAsia="zh-CN" w:bidi="ar-SA"/>
    </w:rPr>
  </w:style>
  <w:style w:type="character" w:styleId="16">
    <w:name w:val="page number"/>
    <w:basedOn w:val="14"/>
    <w:uiPriority w:val="0"/>
    <w:rPr>
      <w:rFonts w:ascii="Calibri" w:hAnsi="Calibri" w:eastAsia="宋体" w:cs="Times New Roman"/>
      <w:lang w:val="en-US" w:eastAsia="zh-CN" w:bidi="ar-SA"/>
    </w:rPr>
  </w:style>
  <w:style w:type="character" w:styleId="17">
    <w:name w:val="Hyperlink"/>
    <w:basedOn w:val="14"/>
    <w:uiPriority w:val="0"/>
    <w:rPr>
      <w:rFonts w:asciiTheme="minorHAnsi" w:hAnsiTheme="minorHAnsi" w:eastAsiaTheme="minorEastAsia" w:cstheme="minorBidi"/>
      <w:color w:val="0000FF"/>
      <w:kern w:val="2"/>
      <w:sz w:val="21"/>
      <w:szCs w:val="22"/>
      <w:u w:val="single"/>
      <w:lang w:val="en-US" w:eastAsia="zh-CN" w:bidi="ar-SA"/>
    </w:rPr>
  </w:style>
  <w:style w:type="character" w:styleId="18">
    <w:name w:val="annotation reference"/>
    <w:uiPriority w:val="0"/>
    <w:rPr>
      <w:rFonts w:ascii="Times New Roman" w:hAnsi="Times New Roman" w:eastAsia="宋体" w:cs="Times New Roman"/>
      <w:sz w:val="21"/>
      <w:szCs w:val="21"/>
      <w:lang w:val="en-US" w:eastAsia="zh-CN" w:bidi="ar-SA"/>
    </w:rPr>
  </w:style>
  <w:style w:type="character" w:customStyle="1" w:styleId="19">
    <w:name w:val="页眉 字符"/>
    <w:basedOn w:val="14"/>
    <w:link w:val="7"/>
    <w:uiPriority w:val="99"/>
    <w:rPr>
      <w:rFonts w:asciiTheme="minorHAnsi" w:hAnsiTheme="minorHAnsi" w:eastAsiaTheme="minorEastAsia" w:cstheme="minorBidi"/>
      <w:kern w:val="2"/>
      <w:sz w:val="18"/>
      <w:szCs w:val="18"/>
      <w:lang w:val="en-US" w:eastAsia="zh-CN" w:bidi="ar-SA"/>
    </w:rPr>
  </w:style>
  <w:style w:type="character" w:customStyle="1" w:styleId="20">
    <w:name w:val="页脚 字符"/>
    <w:basedOn w:val="14"/>
    <w:link w:val="6"/>
    <w:uiPriority w:val="99"/>
    <w:rPr>
      <w:rFonts w:asciiTheme="minorHAnsi" w:hAnsiTheme="minorHAnsi" w:eastAsiaTheme="minorEastAsia" w:cstheme="minorBidi"/>
      <w:kern w:val="2"/>
      <w:sz w:val="18"/>
      <w:szCs w:val="18"/>
      <w:lang w:val="en-US" w:eastAsia="zh-CN" w:bidi="ar-SA"/>
    </w:rPr>
  </w:style>
  <w:style w:type="character" w:customStyle="1" w:styleId="21">
    <w:name w:val="apple-converted-space"/>
    <w:basedOn w:val="14"/>
    <w:uiPriority w:val="0"/>
    <w:rPr>
      <w:rFonts w:asciiTheme="minorHAnsi" w:hAnsiTheme="minorHAnsi" w:eastAsiaTheme="minorEastAsia" w:cstheme="minorBidi"/>
      <w:kern w:val="2"/>
      <w:sz w:val="21"/>
      <w:szCs w:val="22"/>
      <w:lang w:val="en-US" w:eastAsia="zh-CN" w:bidi="ar-SA"/>
    </w:rPr>
  </w:style>
  <w:style w:type="character" w:customStyle="1" w:styleId="22">
    <w:name w:val="批注框文本 字符"/>
    <w:basedOn w:val="14"/>
    <w:link w:val="5"/>
    <w:semiHidden/>
    <w:uiPriority w:val="99"/>
    <w:rPr>
      <w:rFonts w:asciiTheme="minorHAnsi" w:hAnsiTheme="minorHAnsi" w:eastAsiaTheme="minorEastAsia" w:cstheme="minorBidi"/>
      <w:kern w:val="2"/>
      <w:sz w:val="18"/>
      <w:szCs w:val="18"/>
      <w:lang w:val="en-US" w:eastAsia="zh-CN" w:bidi="ar-SA"/>
    </w:rPr>
  </w:style>
  <w:style w:type="paragraph" w:styleId="23">
    <w:name w:val="List Paragraph"/>
    <w:basedOn w:val="1"/>
    <w:qFormat/>
    <w:uiPriority w:val="34"/>
    <w:pPr>
      <w:ind w:firstLine="420" w:firstLineChars="200"/>
    </w:pPr>
  </w:style>
  <w:style w:type="table" w:customStyle="1" w:styleId="24">
    <w:name w:val="网格型1"/>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26">
    <w:name w:val="标题 1 字符"/>
    <w:link w:val="2"/>
    <w:uiPriority w:val="0"/>
    <w:rPr>
      <w:rFonts w:ascii="Times New Roman" w:hAnsi="Times New Roman" w:eastAsia="宋体" w:cs="Times New Roman"/>
      <w:b/>
      <w:bCs/>
      <w:kern w:val="44"/>
      <w:szCs w:val="20"/>
      <w:lang w:val="en-US" w:eastAsia="zh-CN" w:bidi="ar-SA"/>
    </w:rPr>
  </w:style>
  <w:style w:type="character" w:customStyle="1" w:styleId="27">
    <w:name w:val="批注文字 字符"/>
    <w:link w:val="4"/>
    <w:uiPriority w:val="0"/>
    <w:rPr>
      <w:rFonts w:ascii="Times New Roman" w:hAnsi="Times New Roman" w:eastAsia="宋体" w:cs="Times New Roman"/>
      <w:lang w:val="en-US" w:eastAsia="zh-CN" w:bidi="ar-SA"/>
    </w:rPr>
  </w:style>
  <w:style w:type="character" w:customStyle="1" w:styleId="28">
    <w:name w:val="批注主题 字符"/>
    <w:link w:val="10"/>
    <w:uiPriority w:val="0"/>
    <w:rPr>
      <w:rFonts w:ascii="Times New Roman" w:hAnsi="Times New Roman" w:eastAsia="宋体" w:cs="Times New Roman"/>
      <w:b/>
      <w:bCs/>
      <w:lang w:val="en-US" w:eastAsia="zh-CN" w:bidi="ar-SA"/>
    </w:rPr>
  </w:style>
  <w:style w:type="table" w:customStyle="1" w:styleId="29">
    <w:name w:val="Table Normal"/>
    <w:uiPriority w:val="59"/>
    <w:tblPr>
      <w:tblLayout w:type="fixed"/>
      <w:tblCellMar>
        <w:top w:w="0" w:type="dxa"/>
        <w:left w:w="108" w:type="dxa"/>
        <w:bottom w:w="0" w:type="dxa"/>
        <w:right w:w="108" w:type="dxa"/>
      </w:tblCellMar>
    </w:tblPr>
  </w:style>
  <w:style w:type="paragraph" w:customStyle="1" w:styleId="30">
    <w:name w:val="focus"/>
    <w:basedOn w:val="1"/>
    <w:uiPriority w:val="0"/>
    <w:pPr>
      <w:widowControl/>
      <w:jc w:val="left"/>
    </w:pPr>
    <w:rPr>
      <w:rFonts w:ascii="Times New Roman" w:hAnsi="Times New Roman" w:cs="Times New Roman"/>
      <w:kern w:val="0"/>
      <w:sz w:val="24"/>
      <w:szCs w:val="20"/>
    </w:rPr>
  </w:style>
  <w:style w:type="paragraph" w:customStyle="1" w:styleId="31">
    <w:name w:val="focus-hover"/>
    <w:basedOn w:val="1"/>
    <w:uiPriority w:val="0"/>
    <w:pPr>
      <w:widowControl/>
      <w:jc w:val="left"/>
    </w:pPr>
    <w:rPr>
      <w:rFonts w:ascii="Times New Roman" w:hAnsi="Times New Roman" w:cs="Times New Roman"/>
      <w:kern w:val="0"/>
      <w:sz w:val="24"/>
      <w:szCs w:val="20"/>
    </w:rPr>
  </w:style>
  <w:style w:type="paragraph" w:customStyle="1" w:styleId="32">
    <w:name w:val="mce-edit-focus"/>
    <w:basedOn w:val="1"/>
    <w:uiPriority w:val="0"/>
    <w:pPr>
      <w:widowControl/>
      <w:jc w:val="left"/>
    </w:pPr>
    <w:rPr>
      <w:rFonts w:ascii="Times New Roman" w:hAnsi="Times New Roman" w:cs="Times New Roman"/>
      <w:kern w:val="0"/>
      <w:sz w:val="24"/>
      <w:szCs w:val="20"/>
    </w:rPr>
  </w:style>
  <w:style w:type="paragraph" w:customStyle="1" w:styleId="33">
    <w:name w:val="mce-i-none"/>
    <w:basedOn w:val="1"/>
    <w:uiPriority w:val="0"/>
    <w:pPr>
      <w:widowControl/>
      <w:jc w:val="left"/>
    </w:pPr>
    <w:rPr>
      <w:rFonts w:ascii="Times New Roman" w:hAnsi="Times New Roman" w:cs="Times New Roman"/>
      <w:kern w:val="0"/>
      <w:sz w:val="24"/>
      <w:szCs w:val="20"/>
    </w:rPr>
  </w:style>
  <w:style w:type="paragraph" w:customStyle="1" w:styleId="34">
    <w:name w:val="mce-item-anchor"/>
    <w:basedOn w:val="1"/>
    <w:uiPriority w:val="0"/>
    <w:pPr>
      <w:widowControl/>
      <w:jc w:val="left"/>
    </w:pPr>
    <w:rPr>
      <w:rFonts w:ascii="Times New Roman" w:hAnsi="Times New Roman" w:cs="Times New Roman"/>
      <w:kern w:val="0"/>
      <w:sz w:val="24"/>
      <w:szCs w:val="20"/>
    </w:rPr>
  </w:style>
  <w:style w:type="paragraph" w:customStyle="1" w:styleId="35">
    <w:name w:val="mce-item-table"/>
    <w:basedOn w:val="1"/>
    <w:uiPriority w:val="0"/>
    <w:pPr>
      <w:widowControl/>
      <w:ind w:left="-750" w:right="-750"/>
      <w:jc w:val="left"/>
    </w:pPr>
    <w:rPr>
      <w:rFonts w:ascii="Times New Roman" w:hAnsi="Times New Roman" w:cs="Times New Roman"/>
      <w:kern w:val="0"/>
      <w:sz w:val="24"/>
      <w:szCs w:val="20"/>
    </w:rPr>
  </w:style>
  <w:style w:type="paragraph" w:customStyle="1" w:styleId="36">
    <w:name w:val="mce-match-marker"/>
    <w:basedOn w:val="1"/>
    <w:uiPriority w:val="0"/>
    <w:pPr>
      <w:widowControl/>
      <w:jc w:val="left"/>
    </w:pPr>
    <w:rPr>
      <w:rFonts w:ascii="Times New Roman" w:hAnsi="Times New Roman" w:cs="Times New Roman"/>
      <w:color w:val="FFFFFF"/>
      <w:kern w:val="0"/>
      <w:sz w:val="24"/>
      <w:szCs w:val="20"/>
    </w:rPr>
  </w:style>
  <w:style w:type="paragraph" w:customStyle="1" w:styleId="37">
    <w:name w:val="mce-match-marker-selected"/>
    <w:basedOn w:val="1"/>
    <w:uiPriority w:val="0"/>
    <w:pPr>
      <w:widowControl/>
      <w:jc w:val="left"/>
    </w:pPr>
    <w:rPr>
      <w:rFonts w:ascii="Times New Roman" w:hAnsi="Times New Roman" w:cs="Times New Roman"/>
      <w:color w:val="FFFFFF"/>
      <w:kern w:val="0"/>
      <w:sz w:val="24"/>
      <w:szCs w:val="20"/>
    </w:rPr>
  </w:style>
  <w:style w:type="paragraph" w:customStyle="1" w:styleId="38">
    <w:name w:val="mce-nbsp"/>
    <w:basedOn w:val="1"/>
    <w:uiPriority w:val="0"/>
    <w:pPr>
      <w:widowControl/>
      <w:jc w:val="left"/>
    </w:pPr>
    <w:rPr>
      <w:rFonts w:ascii="Times New Roman" w:hAnsi="Times New Roman" w:cs="Times New Roman"/>
      <w:kern w:val="0"/>
      <w:sz w:val="24"/>
      <w:szCs w:val="20"/>
    </w:rPr>
  </w:style>
  <w:style w:type="paragraph" w:customStyle="1" w:styleId="39">
    <w:name w:val="mce-object"/>
    <w:basedOn w:val="1"/>
    <w:uiPriority w:val="0"/>
    <w:pPr>
      <w:widowControl/>
      <w:jc w:val="left"/>
    </w:pPr>
    <w:rPr>
      <w:rFonts w:ascii="Times New Roman" w:hAnsi="Times New Roman" w:cs="Times New Roman"/>
      <w:kern w:val="0"/>
      <w:sz w:val="24"/>
      <w:szCs w:val="20"/>
    </w:rPr>
  </w:style>
  <w:style w:type="paragraph" w:customStyle="1" w:styleId="40">
    <w:name w:val="mce-pagebreak"/>
    <w:basedOn w:val="1"/>
    <w:uiPriority w:val="0"/>
    <w:pPr>
      <w:widowControl/>
      <w:spacing w:before="225"/>
      <w:jc w:val="left"/>
    </w:pPr>
    <w:rPr>
      <w:rFonts w:ascii="Times New Roman" w:hAnsi="Times New Roman" w:cs="Times New Roman"/>
      <w:kern w:val="0"/>
      <w:sz w:val="24"/>
      <w:szCs w:val="20"/>
    </w:rPr>
  </w:style>
  <w:style w:type="paragraph" w:customStyle="1" w:styleId="41">
    <w:name w:val="mce-preview-object"/>
    <w:basedOn w:val="1"/>
    <w:uiPriority w:val="0"/>
    <w:pPr>
      <w:widowControl/>
      <w:spacing w:line="0" w:lineRule="auto"/>
      <w:jc w:val="left"/>
    </w:pPr>
    <w:rPr>
      <w:rFonts w:ascii="Times New Roman" w:hAnsi="Times New Roman" w:cs="Times New Roman"/>
      <w:kern w:val="0"/>
      <w:sz w:val="24"/>
      <w:szCs w:val="20"/>
    </w:rPr>
  </w:style>
  <w:style w:type="paragraph" w:customStyle="1" w:styleId="42">
    <w:name w:val="mce-resize-bar-dragging"/>
    <w:basedOn w:val="1"/>
    <w:qFormat/>
    <w:uiPriority w:val="0"/>
    <w:pPr>
      <w:widowControl/>
      <w:shd w:val="clear" w:color="auto" w:fill="0000FF"/>
      <w:jc w:val="left"/>
    </w:pPr>
    <w:rPr>
      <w:rFonts w:ascii="Times New Roman" w:hAnsi="Times New Roman" w:cs="Times New Roman"/>
      <w:kern w:val="0"/>
      <w:sz w:val="24"/>
      <w:szCs w:val="20"/>
      <w:shd w:val="clear" w:color="auto" w:fill="0000FF"/>
    </w:rPr>
  </w:style>
  <w:style w:type="paragraph" w:customStyle="1" w:styleId="43">
    <w:name w:val="mce-shy"/>
    <w:basedOn w:val="1"/>
    <w:uiPriority w:val="0"/>
    <w:pPr>
      <w:widowControl/>
      <w:jc w:val="left"/>
    </w:pPr>
    <w:rPr>
      <w:rFonts w:ascii="Times New Roman" w:hAnsi="Times New Roman" w:cs="Times New Roman"/>
      <w:kern w:val="0"/>
      <w:sz w:val="24"/>
      <w:szCs w:val="20"/>
    </w:rPr>
  </w:style>
  <w:style w:type="paragraph" w:customStyle="1" w:styleId="44">
    <w:name w:val="mce-spellchecker-grammar"/>
    <w:basedOn w:val="1"/>
    <w:qFormat/>
    <w:uiPriority w:val="0"/>
    <w:pPr>
      <w:widowControl/>
      <w:jc w:val="left"/>
    </w:pPr>
    <w:rPr>
      <w:rFonts w:ascii="Times New Roman" w:hAnsi="Times New Roman" w:cs="Times New Roman"/>
      <w:kern w:val="0"/>
      <w:sz w:val="24"/>
      <w:szCs w:val="20"/>
    </w:rPr>
  </w:style>
  <w:style w:type="paragraph" w:customStyle="1" w:styleId="45">
    <w:name w:val="mce-spellchecker-word"/>
    <w:basedOn w:val="1"/>
    <w:uiPriority w:val="0"/>
    <w:pPr>
      <w:widowControl/>
      <w:jc w:val="left"/>
    </w:pPr>
    <w:rPr>
      <w:rFonts w:ascii="Times New Roman" w:hAnsi="Times New Roman" w:cs="Times New Roman"/>
      <w:kern w:val="0"/>
      <w:sz w:val="24"/>
      <w:szCs w:val="20"/>
    </w:rPr>
  </w:style>
  <w:style w:type="paragraph" w:customStyle="1" w:styleId="46">
    <w:name w:val="mce-toc"/>
    <w:basedOn w:val="1"/>
    <w:uiPriority w:val="0"/>
    <w:pPr>
      <w:widowControl/>
      <w:jc w:val="left"/>
    </w:pPr>
    <w:rPr>
      <w:rFonts w:ascii="Times New Roman" w:hAnsi="Times New Roman" w:cs="Times New Roman"/>
      <w:kern w:val="0"/>
      <w:sz w:val="24"/>
      <w:szCs w:val="20"/>
    </w:rPr>
  </w:style>
  <w:style w:type="paragraph" w:customStyle="1" w:styleId="47">
    <w:name w:val="text-indent"/>
    <w:basedOn w:val="1"/>
    <w:uiPriority w:val="0"/>
    <w:pPr>
      <w:widowControl/>
      <w:ind w:firstLine="30"/>
      <w:jc w:val="left"/>
    </w:pPr>
    <w:rPr>
      <w:rFonts w:ascii="Times New Roman" w:hAnsi="Times New Roman" w:cs="Times New Roman"/>
      <w:kern w:val="0"/>
      <w:sz w:val="24"/>
      <w:szCs w:val="20"/>
    </w:rPr>
  </w:style>
  <w:style w:type="paragraph" w:customStyle="1" w:styleId="48">
    <w:name w:val="Revision"/>
    <w:hidden/>
    <w:semiHidden/>
    <w:qFormat/>
    <w:uiPriority w:val="99"/>
    <w:rPr>
      <w:rFonts w:ascii="Times New Roman" w:hAnsi="Times New Roman" w:cs="Times New Roman" w:eastAsiaTheme="minorEastAsia"/>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167</Words>
  <Characters>956</Characters>
  <Lines>7</Lines>
  <Paragraphs>2</Paragraphs>
  <TotalTime>0</TotalTime>
  <ScaleCrop>false</ScaleCrop>
  <LinksUpToDate>false</LinksUpToDate>
  <CharactersWithSpaces>1121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2018-06-27T20:07:00Z</dcterms:created>
  <dc:creator>Administrator</dc:creator>
  <cp:lastModifiedBy>锦莹</cp:lastModifiedBy>
  <cp:lastPrinted>2411-12-31T16:00:00Z</cp:lastPrinted>
  <dcterms:modified xsi:type="dcterms:W3CDTF">2020-03-05T08:30:00Z</dcterms:modified>
  <dc:title>说  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